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FA" w:rsidRPr="000C7C92" w:rsidRDefault="000C7C92" w:rsidP="000C7C92">
      <w:bookmarkStart w:id="0" w:name="bookmark0"/>
      <w:bookmarkStart w:id="1" w:name="_GoBack"/>
      <w:bookmarkEnd w:id="1"/>
      <w:r>
        <w:rPr>
          <w:noProof/>
          <w:lang w:bidi="ar-SA"/>
        </w:rPr>
        <w:drawing>
          <wp:inline distT="0" distB="0" distL="0" distR="0">
            <wp:extent cx="5934468" cy="71932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68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FA" w:rsidRPr="00C01FA9" w:rsidRDefault="00244AFA" w:rsidP="000C7C92">
      <w:pPr>
        <w:spacing w:line="400" w:lineRule="exact"/>
        <w:ind w:firstLine="709"/>
        <w:jc w:val="both"/>
      </w:pPr>
    </w:p>
    <w:p w:rsidR="00C01FA9" w:rsidRDefault="00F5507B" w:rsidP="000C7C92">
      <w:pPr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FA9">
        <w:rPr>
          <w:rFonts w:ascii="Times New Roman" w:hAnsi="Times New Roman" w:cs="Times New Roman"/>
          <w:sz w:val="28"/>
          <w:szCs w:val="28"/>
        </w:rPr>
        <w:t>ПРАВИЛА ЗА ПРЕДОСТАВЯНЕ НА ДОСТЪП ДО ОБЩЕСТВЕНА</w:t>
      </w:r>
      <w:bookmarkEnd w:id="0"/>
      <w:r w:rsidR="00C01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FA9">
        <w:rPr>
          <w:rFonts w:ascii="Times New Roman" w:hAnsi="Times New Roman" w:cs="Times New Roman"/>
          <w:sz w:val="28"/>
          <w:szCs w:val="28"/>
        </w:rPr>
        <w:t>ИНФОРМАЦИЯ ПО ЗДОИ</w:t>
      </w:r>
      <w:bookmarkStart w:id="2" w:name="bookmark3"/>
    </w:p>
    <w:p w:rsidR="00C01FA9" w:rsidRDefault="00C01FA9" w:rsidP="000C7C92">
      <w:pPr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EE5" w:rsidRPr="000C7C92" w:rsidRDefault="00C01FA9" w:rsidP="000C7C92">
      <w:pPr>
        <w:spacing w:line="400" w:lineRule="exac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C7C92">
        <w:rPr>
          <w:rFonts w:ascii="Times New Roman" w:hAnsi="Times New Roman" w:cs="Times New Roman"/>
          <w:b/>
          <w:color w:val="auto"/>
        </w:rPr>
        <w:t xml:space="preserve">І. </w:t>
      </w:r>
      <w:r w:rsidR="00F5507B" w:rsidRPr="000C7C92">
        <w:rPr>
          <w:rFonts w:ascii="Times New Roman" w:hAnsi="Times New Roman" w:cs="Times New Roman"/>
          <w:b/>
          <w:color w:val="auto"/>
        </w:rPr>
        <w:t>Регистриране и разглеждане на заявленията за достъп до обществена</w:t>
      </w:r>
      <w:r w:rsidRPr="000C7C92">
        <w:rPr>
          <w:rFonts w:ascii="Times New Roman" w:hAnsi="Times New Roman" w:cs="Times New Roman"/>
          <w:b/>
          <w:color w:val="auto"/>
        </w:rPr>
        <w:t xml:space="preserve"> </w:t>
      </w:r>
      <w:r w:rsidR="00F5507B" w:rsidRPr="000C7C92">
        <w:rPr>
          <w:rFonts w:ascii="Times New Roman" w:hAnsi="Times New Roman" w:cs="Times New Roman"/>
          <w:b/>
          <w:color w:val="auto"/>
        </w:rPr>
        <w:t>информация</w:t>
      </w:r>
      <w:bookmarkEnd w:id="2"/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Дейността по приемането, регистрирането, разглеждането и изготвянето на решения по ЗДОИ се организира, координира и контролира от директора на училището.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Достъпът до обществена информация се предоставя въз основа на писмено заявление или устно запитване. Заявлението се счита за писмено и в случаите, когато е направено по електронен път на ел. адрес</w:t>
      </w:r>
      <w:r w:rsidR="00244AFA" w:rsidRPr="000C7C92">
        <w:rPr>
          <w:sz w:val="24"/>
          <w:szCs w:val="24"/>
          <w:lang w:val="en-US" w:eastAsia="en-US" w:bidi="en-US"/>
        </w:rPr>
        <w:t xml:space="preserve"> </w:t>
      </w:r>
      <w:r w:rsidR="00244AFA" w:rsidRPr="000C7C92">
        <w:rPr>
          <w:sz w:val="24"/>
          <w:szCs w:val="24"/>
          <w:u w:val="single"/>
          <w:lang w:val="en-US" w:eastAsia="en-US" w:bidi="en-US"/>
        </w:rPr>
        <w:t>director@sugizmirliev.eu</w:t>
      </w:r>
      <w:r w:rsidRPr="000C7C92">
        <w:rPr>
          <w:sz w:val="24"/>
          <w:szCs w:val="24"/>
          <w:lang w:val="en-US" w:eastAsia="en-US" w:bidi="en-US"/>
        </w:rPr>
        <w:t xml:space="preserve">. </w:t>
      </w:r>
      <w:r w:rsidRPr="000C7C92">
        <w:rPr>
          <w:sz w:val="24"/>
          <w:szCs w:val="24"/>
        </w:rPr>
        <w:t xml:space="preserve">В тези случаи не се изисква подпис съгласно изискванията на Закона за електронния документ и електронните </w:t>
      </w:r>
      <w:r w:rsidR="00C01FA9" w:rsidRPr="000C7C92">
        <w:rPr>
          <w:sz w:val="24"/>
          <w:szCs w:val="24"/>
        </w:rPr>
        <w:t>удостоверителни</w:t>
      </w:r>
      <w:r w:rsidRPr="000C7C92">
        <w:rPr>
          <w:sz w:val="24"/>
          <w:szCs w:val="24"/>
        </w:rPr>
        <w:t xml:space="preserve"> услуги.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 xml:space="preserve">Писмените заявления по Закона за достъп до обществена информация се подават в канцеларията и се регистрират в регистъра за входяща поща. Получените по електронен път заявления в неработни дни се регистрират в регистъра за входяща поща от служител </w:t>
      </w:r>
      <w:r w:rsidR="008B00FB" w:rsidRPr="000C7C92">
        <w:rPr>
          <w:sz w:val="24"/>
          <w:szCs w:val="24"/>
        </w:rPr>
        <w:t xml:space="preserve">Стефка Илиева </w:t>
      </w:r>
      <w:r w:rsidRPr="000C7C92">
        <w:rPr>
          <w:sz w:val="24"/>
          <w:szCs w:val="24"/>
        </w:rPr>
        <w:t>първия работен ден след постъпването им.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Заявленията за достъп до обществена информация се разглеждат в 14-днсвен срок от датата на регистрирането им по реда на Глава трета, раздел II от ЗДОИ.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Заявлението за предоставяне на достъп до обществена информация трябва да съдържа:</w:t>
      </w:r>
    </w:p>
    <w:p w:rsidR="00920EE5" w:rsidRPr="000C7C92" w:rsidRDefault="00F5507B" w:rsidP="000C7C92">
      <w:pPr>
        <w:pStyle w:val="a0"/>
        <w:numPr>
          <w:ilvl w:val="0"/>
          <w:numId w:val="2"/>
        </w:numPr>
        <w:spacing w:after="0" w:line="400" w:lineRule="exact"/>
        <w:ind w:firstLine="760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трите имена, съответно наименованието и седалището на заявителя;</w:t>
      </w:r>
    </w:p>
    <w:p w:rsidR="00920EE5" w:rsidRPr="000C7C92" w:rsidRDefault="00F5507B" w:rsidP="000C7C92">
      <w:pPr>
        <w:pStyle w:val="a0"/>
        <w:numPr>
          <w:ilvl w:val="0"/>
          <w:numId w:val="2"/>
        </w:numPr>
        <w:tabs>
          <w:tab w:val="left" w:pos="1073"/>
        </w:tabs>
        <w:spacing w:after="0" w:line="400" w:lineRule="exact"/>
        <w:ind w:firstLine="760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описание на исканата информация;</w:t>
      </w:r>
    </w:p>
    <w:p w:rsidR="00C01FA9" w:rsidRPr="000C7C92" w:rsidRDefault="00C01FA9" w:rsidP="000C7C92">
      <w:pPr>
        <w:pStyle w:val="a0"/>
        <w:numPr>
          <w:ilvl w:val="0"/>
          <w:numId w:val="2"/>
        </w:numPr>
        <w:tabs>
          <w:tab w:val="left" w:pos="1073"/>
        </w:tabs>
        <w:spacing w:after="0" w:line="400" w:lineRule="exact"/>
        <w:ind w:firstLine="760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предпочитаната форма за предоставяне на достъп до исканата информация;</w:t>
      </w:r>
    </w:p>
    <w:p w:rsidR="00C01FA9" w:rsidRPr="000C7C92" w:rsidRDefault="00C01FA9" w:rsidP="000C7C92">
      <w:pPr>
        <w:pStyle w:val="a0"/>
        <w:numPr>
          <w:ilvl w:val="0"/>
          <w:numId w:val="2"/>
        </w:numPr>
        <w:tabs>
          <w:tab w:val="left" w:pos="1073"/>
        </w:tabs>
        <w:spacing w:after="0" w:line="400" w:lineRule="exact"/>
        <w:ind w:firstLine="760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В случай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 не по-малък от 30 календарни дни.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Срокът за разглеждане на заявлението може да бъде удължен в следните случаи:</w:t>
      </w:r>
    </w:p>
    <w:p w:rsidR="00920EE5" w:rsidRPr="000C7C92" w:rsidRDefault="00F5507B" w:rsidP="000C7C92">
      <w:pPr>
        <w:pStyle w:val="a0"/>
        <w:numPr>
          <w:ilvl w:val="0"/>
          <w:numId w:val="10"/>
        </w:numPr>
        <w:spacing w:after="0" w:line="400" w:lineRule="exact"/>
        <w:ind w:left="0"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lastRenderedPageBreak/>
        <w:t>с 10 дни, когато поисканата информация е в голямо количество и е необходимо допълнително време за нейната обработка;</w:t>
      </w:r>
    </w:p>
    <w:p w:rsidR="00920EE5" w:rsidRPr="000C7C92" w:rsidRDefault="00F5507B" w:rsidP="000C7C92">
      <w:pPr>
        <w:pStyle w:val="a0"/>
        <w:numPr>
          <w:ilvl w:val="0"/>
          <w:numId w:val="10"/>
        </w:numPr>
        <w:spacing w:after="0" w:line="400" w:lineRule="exact"/>
        <w:ind w:left="0"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с 14 дни, когато исканата обществена информация се отнася до трето лице и е необходимо неговото съгласие за предоставянето й.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Когато в училището не се съхранява исканата информация, но има данни за нейното местонахождение, в 14-дневен срок директорът препраща заявлението, като уведомява за това заявителя.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Когато в училището не се съхранява исканата информация, в 14-дневен срок директорът уведомява писмено заявителя за това.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Решенията за предоставяне или за отказ за предоставяне на достъп до обществена информация,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 с</w:t>
      </w:r>
      <w:r w:rsidR="004876C8" w:rsidRPr="000C7C92">
        <w:rPr>
          <w:sz w:val="24"/>
          <w:szCs w:val="24"/>
        </w:rPr>
        <w:t>е подписват от Криси Аврамова</w:t>
      </w:r>
      <w:r w:rsidRPr="000C7C92">
        <w:rPr>
          <w:sz w:val="24"/>
          <w:szCs w:val="24"/>
        </w:rPr>
        <w:t>, директор, и</w:t>
      </w:r>
      <w:r w:rsidR="004876C8" w:rsidRPr="000C7C92">
        <w:rPr>
          <w:sz w:val="24"/>
          <w:szCs w:val="24"/>
        </w:rPr>
        <w:t>ли от изрично определено от нея</w:t>
      </w:r>
      <w:r w:rsidRPr="000C7C92">
        <w:rPr>
          <w:sz w:val="24"/>
          <w:szCs w:val="24"/>
        </w:rPr>
        <w:t xml:space="preserve"> лице.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В решението, с което се предоставя достъп до исканата информация, задължително се посочват:</w:t>
      </w:r>
    </w:p>
    <w:p w:rsidR="00920EE5" w:rsidRPr="000C7C92" w:rsidRDefault="00F5507B" w:rsidP="000C7C92">
      <w:pPr>
        <w:pStyle w:val="a0"/>
        <w:numPr>
          <w:ilvl w:val="0"/>
          <w:numId w:val="3"/>
        </w:numPr>
        <w:tabs>
          <w:tab w:val="left" w:pos="1063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степента на осигурения достъп до исканата обществена информация;</w:t>
      </w:r>
    </w:p>
    <w:p w:rsidR="00920EE5" w:rsidRPr="000C7C92" w:rsidRDefault="00F5507B" w:rsidP="000C7C92">
      <w:pPr>
        <w:pStyle w:val="a0"/>
        <w:numPr>
          <w:ilvl w:val="0"/>
          <w:numId w:val="3"/>
        </w:numPr>
        <w:tabs>
          <w:tab w:val="left" w:pos="1063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срокът, в който е осигурен достъп до исканата обществена информация - в размер на 30 дни;</w:t>
      </w:r>
    </w:p>
    <w:p w:rsidR="00920EE5" w:rsidRPr="000C7C92" w:rsidRDefault="00F5507B" w:rsidP="000C7C92">
      <w:pPr>
        <w:pStyle w:val="a0"/>
        <w:numPr>
          <w:ilvl w:val="0"/>
          <w:numId w:val="3"/>
        </w:numPr>
        <w:tabs>
          <w:tab w:val="left" w:pos="1063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мястото, където ще бъде предоставен достъп до исканата обществена информация;</w:t>
      </w:r>
    </w:p>
    <w:p w:rsidR="00920EE5" w:rsidRPr="000C7C92" w:rsidRDefault="00F5507B" w:rsidP="000C7C92">
      <w:pPr>
        <w:pStyle w:val="a0"/>
        <w:numPr>
          <w:ilvl w:val="0"/>
          <w:numId w:val="3"/>
        </w:numPr>
        <w:tabs>
          <w:tab w:val="left" w:pos="1063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формата, под която ще бъде предоставен достъп до исканата обществена информация;</w:t>
      </w:r>
    </w:p>
    <w:p w:rsidR="00920EE5" w:rsidRPr="000C7C92" w:rsidRDefault="00F5507B" w:rsidP="000C7C92">
      <w:pPr>
        <w:pStyle w:val="a0"/>
        <w:numPr>
          <w:ilvl w:val="0"/>
          <w:numId w:val="3"/>
        </w:numPr>
        <w:tabs>
          <w:tab w:val="left" w:pos="109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разходите по предоставяне на достъп до исканата обществена информация.</w:t>
      </w:r>
    </w:p>
    <w:p w:rsidR="00920EE5" w:rsidRPr="000C7C92" w:rsidRDefault="00F5507B" w:rsidP="000C7C92">
      <w:pPr>
        <w:spacing w:line="400" w:lineRule="exact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3" w:name="bookmark5"/>
      <w:r w:rsidRPr="000C7C92">
        <w:rPr>
          <w:rFonts w:ascii="Times New Roman" w:hAnsi="Times New Roman" w:cs="Times New Roman"/>
          <w:b/>
          <w:color w:val="auto"/>
        </w:rPr>
        <w:t>II. Форми за предоставяне на информацията</w:t>
      </w:r>
      <w:bookmarkEnd w:id="3"/>
    </w:p>
    <w:p w:rsidR="00920EE5" w:rsidRPr="000C7C92" w:rsidRDefault="00B077EA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sz w:val="24"/>
          <w:szCs w:val="24"/>
        </w:rPr>
        <w:t xml:space="preserve">ІІ.1. </w:t>
      </w:r>
      <w:r w:rsidR="00F5507B" w:rsidRPr="000C7C92">
        <w:rPr>
          <w:b/>
          <w:sz w:val="24"/>
          <w:szCs w:val="24"/>
        </w:rPr>
        <w:t xml:space="preserve">Предоставяне на информацията под формата на </w:t>
      </w:r>
      <w:r w:rsidR="00590BF8" w:rsidRPr="000C7C92">
        <w:rPr>
          <w:b/>
          <w:i/>
          <w:iCs/>
          <w:sz w:val="24"/>
          <w:szCs w:val="24"/>
          <w:u w:val="single"/>
        </w:rPr>
        <w:t>копие</w:t>
      </w:r>
      <w:r w:rsidR="00F5507B" w:rsidRPr="000C7C92">
        <w:rPr>
          <w:b/>
          <w:i/>
          <w:iCs/>
          <w:sz w:val="24"/>
          <w:szCs w:val="24"/>
          <w:u w:val="single"/>
        </w:rPr>
        <w:t xml:space="preserve"> на материален носител </w:t>
      </w:r>
      <w:r w:rsidR="00F5507B" w:rsidRPr="000C7C92">
        <w:rPr>
          <w:b/>
          <w:sz w:val="24"/>
          <w:szCs w:val="24"/>
        </w:rPr>
        <w:t xml:space="preserve">(хартиен, </w:t>
      </w:r>
      <w:r w:rsidR="00F5507B" w:rsidRPr="000C7C92">
        <w:rPr>
          <w:b/>
          <w:sz w:val="24"/>
          <w:szCs w:val="24"/>
          <w:lang w:val="en-US" w:eastAsia="en-US" w:bidi="en-US"/>
        </w:rPr>
        <w:t xml:space="preserve">CD), </w:t>
      </w:r>
      <w:r w:rsidR="00F5507B" w:rsidRPr="000C7C92">
        <w:rPr>
          <w:b/>
          <w:i/>
          <w:iCs/>
          <w:sz w:val="24"/>
          <w:szCs w:val="24"/>
          <w:u w:val="single"/>
        </w:rPr>
        <w:t>устна справка</w:t>
      </w:r>
      <w:r w:rsidR="00F5507B" w:rsidRPr="000C7C92">
        <w:rPr>
          <w:b/>
          <w:sz w:val="24"/>
          <w:szCs w:val="24"/>
        </w:rPr>
        <w:t xml:space="preserve"> или </w:t>
      </w:r>
      <w:r w:rsidR="00F5507B" w:rsidRPr="000C7C92">
        <w:rPr>
          <w:b/>
          <w:i/>
          <w:iCs/>
          <w:sz w:val="24"/>
          <w:szCs w:val="24"/>
          <w:u w:val="single"/>
        </w:rPr>
        <w:t>преглед на информацията</w:t>
      </w:r>
      <w:r w:rsidR="00590BF8" w:rsidRPr="000C7C92">
        <w:rPr>
          <w:b/>
          <w:i/>
          <w:iCs/>
          <w:sz w:val="24"/>
          <w:szCs w:val="24"/>
        </w:rPr>
        <w:t>: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изпраща по пощата с обратна разписка;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Предоставянето на информацията се извършва в училището (</w:t>
      </w:r>
      <w:r w:rsidR="00590BF8" w:rsidRPr="000C7C92">
        <w:rPr>
          <w:sz w:val="24"/>
          <w:szCs w:val="24"/>
        </w:rPr>
        <w:t>ул. „Ангел Кънчев“ 17</w:t>
      </w:r>
      <w:r w:rsidRPr="000C7C92">
        <w:rPr>
          <w:sz w:val="24"/>
          <w:szCs w:val="24"/>
        </w:rPr>
        <w:t xml:space="preserve">), на специално обособено за целта място, от служителя, участвал в изготвянето на Решението за предоставяне </w:t>
      </w:r>
      <w:r w:rsidR="00B077EA" w:rsidRPr="000C7C92">
        <w:rPr>
          <w:sz w:val="24"/>
          <w:szCs w:val="24"/>
        </w:rPr>
        <w:t>н</w:t>
      </w:r>
      <w:r w:rsidRPr="000C7C92">
        <w:rPr>
          <w:sz w:val="24"/>
          <w:szCs w:val="24"/>
        </w:rPr>
        <w:t>а достъп до обществена информация.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 xml:space="preserve">Информацията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</w:t>
      </w:r>
      <w:r w:rsidRPr="000C7C92">
        <w:rPr>
          <w:sz w:val="24"/>
          <w:szCs w:val="24"/>
        </w:rPr>
        <w:lastRenderedPageBreak/>
        <w:t>за определяне нормативи за разходите при предоставяне на обществена информация по Закопа за достъп до обществена информация според вида на носителя, издадена от министъра на финансите.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Срокът за предоставяне на информацията е 30 календарни дни от датата па получаване на решението.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Когато заявителят откаже да плати дължимия разход, посочен в решението за предоставяне на достъп, или не се яви, за да го получи в опр</w:t>
      </w:r>
      <w:r w:rsidR="00590BF8" w:rsidRPr="000C7C92">
        <w:rPr>
          <w:sz w:val="24"/>
          <w:szCs w:val="24"/>
        </w:rPr>
        <w:t>еделения в решението срок, в кой</w:t>
      </w:r>
      <w:r w:rsidRPr="000C7C92">
        <w:rPr>
          <w:sz w:val="24"/>
          <w:szCs w:val="24"/>
        </w:rPr>
        <w:t>то е осигурен достъп до исканата информация, е налице отказ на заявителя от предоставения му достъп до исканата обществена информация.</w:t>
      </w:r>
    </w:p>
    <w:p w:rsidR="00920EE5" w:rsidRPr="000C7C92" w:rsidRDefault="00F5507B" w:rsidP="000C7C92">
      <w:pPr>
        <w:pStyle w:val="a0"/>
        <w:numPr>
          <w:ilvl w:val="0"/>
          <w:numId w:val="5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В случай че заявителят не се яви до 17.00 ч. на последния ден от срока за предоставяне на информация, това обстоятелство се удостоверява с протокол, подписан от директора или от лицето, на което 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</w:t>
      </w:r>
    </w:p>
    <w:p w:rsidR="00920EE5" w:rsidRPr="000C7C92" w:rsidRDefault="00B077EA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sz w:val="24"/>
          <w:szCs w:val="24"/>
        </w:rPr>
        <w:t xml:space="preserve">ІІ.2. </w:t>
      </w:r>
      <w:r w:rsidR="00F5507B" w:rsidRPr="000C7C92">
        <w:rPr>
          <w:b/>
          <w:sz w:val="24"/>
          <w:szCs w:val="24"/>
        </w:rPr>
        <w:t xml:space="preserve">Предоставяне на информацията под формата на </w:t>
      </w:r>
      <w:r w:rsidR="00F5507B" w:rsidRPr="000C7C92">
        <w:rPr>
          <w:b/>
          <w:i/>
          <w:iCs/>
          <w:sz w:val="24"/>
          <w:szCs w:val="24"/>
          <w:u w:val="single"/>
        </w:rPr>
        <w:t>копия, предоставени по електронен път или интернет адрес, където се съхраняват или са публикувани данните</w:t>
      </w:r>
      <w:r w:rsidR="00590BF8" w:rsidRPr="000C7C92">
        <w:rPr>
          <w:b/>
          <w:i/>
          <w:iCs/>
          <w:sz w:val="24"/>
          <w:szCs w:val="24"/>
        </w:rPr>
        <w:t>:</w:t>
      </w:r>
    </w:p>
    <w:p w:rsidR="00920EE5" w:rsidRPr="000C7C92" w:rsidRDefault="00F5507B" w:rsidP="000C7C92">
      <w:pPr>
        <w:pStyle w:val="a0"/>
        <w:numPr>
          <w:ilvl w:val="0"/>
          <w:numId w:val="6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поща, заедно с копие от информацията или интернет адреса, на който се съдържат данните;</w:t>
      </w:r>
    </w:p>
    <w:p w:rsidR="00B077EA" w:rsidRPr="000C7C92" w:rsidRDefault="00F5507B" w:rsidP="000C7C92">
      <w:pPr>
        <w:pStyle w:val="a0"/>
        <w:numPr>
          <w:ilvl w:val="0"/>
          <w:numId w:val="6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В тези случаи не се съставя протокол и не се заплащат разходи по</w:t>
      </w:r>
      <w:r w:rsidR="00B077EA" w:rsidRPr="000C7C92">
        <w:rPr>
          <w:sz w:val="24"/>
          <w:szCs w:val="24"/>
        </w:rPr>
        <w:t xml:space="preserve"> </w:t>
      </w:r>
      <w:r w:rsidRPr="000C7C92">
        <w:rPr>
          <w:sz w:val="24"/>
          <w:szCs w:val="24"/>
        </w:rPr>
        <w:t>предоставянето;</w:t>
      </w:r>
    </w:p>
    <w:p w:rsidR="00920EE5" w:rsidRPr="000C7C92" w:rsidRDefault="00F5507B" w:rsidP="000C7C92">
      <w:pPr>
        <w:pStyle w:val="a0"/>
        <w:numPr>
          <w:ilvl w:val="0"/>
          <w:numId w:val="6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й;</w:t>
      </w:r>
    </w:p>
    <w:p w:rsidR="00920EE5" w:rsidRPr="000C7C92" w:rsidRDefault="00F5507B" w:rsidP="000C7C92">
      <w:pPr>
        <w:pStyle w:val="a0"/>
        <w:numPr>
          <w:ilvl w:val="0"/>
          <w:numId w:val="6"/>
        </w:numPr>
        <w:tabs>
          <w:tab w:val="left" w:pos="113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Разпечатка на изпратеното по електронен път съобщение се прилага към досието на постъпилото заявление.</w:t>
      </w:r>
    </w:p>
    <w:p w:rsidR="00920EE5" w:rsidRPr="000C7C92" w:rsidRDefault="00F5507B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bCs/>
          <w:sz w:val="24"/>
          <w:szCs w:val="24"/>
        </w:rPr>
        <w:t>II.</w:t>
      </w:r>
      <w:r w:rsidR="00B077EA" w:rsidRPr="000C7C92">
        <w:rPr>
          <w:b/>
          <w:bCs/>
          <w:sz w:val="24"/>
          <w:szCs w:val="24"/>
        </w:rPr>
        <w:t>3.</w:t>
      </w:r>
      <w:r w:rsidRPr="000C7C92">
        <w:rPr>
          <w:b/>
          <w:bCs/>
          <w:sz w:val="24"/>
          <w:szCs w:val="24"/>
        </w:rPr>
        <w:t xml:space="preserve"> </w:t>
      </w:r>
      <w:r w:rsidRPr="000C7C92">
        <w:rPr>
          <w:b/>
          <w:sz w:val="24"/>
          <w:szCs w:val="24"/>
        </w:rPr>
        <w:t>Директорът може да определи форма за предоставяне на обществена информация, различна от заявената, когато:</w:t>
      </w:r>
    </w:p>
    <w:p w:rsidR="00920EE5" w:rsidRPr="000C7C92" w:rsidRDefault="00F5507B" w:rsidP="000C7C92">
      <w:pPr>
        <w:pStyle w:val="a0"/>
        <w:numPr>
          <w:ilvl w:val="0"/>
          <w:numId w:val="7"/>
        </w:numPr>
        <w:tabs>
          <w:tab w:val="left" w:pos="1104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 исканата форма няма техническа възможност;</w:t>
      </w:r>
    </w:p>
    <w:p w:rsidR="00920EE5" w:rsidRPr="000C7C92" w:rsidRDefault="00F5507B" w:rsidP="000C7C92">
      <w:pPr>
        <w:pStyle w:val="a0"/>
        <w:numPr>
          <w:ilvl w:val="0"/>
          <w:numId w:val="7"/>
        </w:numPr>
        <w:tabs>
          <w:tab w:val="left" w:pos="1104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 xml:space="preserve">исканата форма е свързана с необосновано увеличаване на разходите по </w:t>
      </w:r>
      <w:r w:rsidRPr="000C7C92">
        <w:rPr>
          <w:sz w:val="24"/>
          <w:szCs w:val="24"/>
        </w:rPr>
        <w:lastRenderedPageBreak/>
        <w:t>предоставянето й;</w:t>
      </w:r>
    </w:p>
    <w:p w:rsidR="00920EE5" w:rsidRPr="000C7C92" w:rsidRDefault="00F5507B" w:rsidP="000C7C92">
      <w:pPr>
        <w:pStyle w:val="a0"/>
        <w:numPr>
          <w:ilvl w:val="0"/>
          <w:numId w:val="7"/>
        </w:numPr>
        <w:tabs>
          <w:tab w:val="left" w:pos="1104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 xml:space="preserve">исканата форма води до </w:t>
      </w:r>
      <w:r w:rsidR="00B077EA" w:rsidRPr="000C7C92">
        <w:rPr>
          <w:sz w:val="24"/>
          <w:szCs w:val="24"/>
        </w:rPr>
        <w:t>неправомерна обработка н</w:t>
      </w:r>
      <w:r w:rsidRPr="000C7C92">
        <w:rPr>
          <w:sz w:val="24"/>
          <w:szCs w:val="24"/>
        </w:rPr>
        <w:t xml:space="preserve">а </w:t>
      </w:r>
      <w:r w:rsidR="00B077EA" w:rsidRPr="000C7C92">
        <w:rPr>
          <w:sz w:val="24"/>
          <w:szCs w:val="24"/>
        </w:rPr>
        <w:t>информацията или до нарушаване н</w:t>
      </w:r>
      <w:r w:rsidRPr="000C7C92">
        <w:rPr>
          <w:sz w:val="24"/>
          <w:szCs w:val="24"/>
        </w:rPr>
        <w:t>а авторски права.</w:t>
      </w:r>
    </w:p>
    <w:p w:rsidR="00920EE5" w:rsidRPr="000C7C92" w:rsidRDefault="00F5507B" w:rsidP="000C7C92">
      <w:pPr>
        <w:pStyle w:val="10"/>
        <w:keepNext/>
        <w:keepLines/>
        <w:spacing w:after="0" w:line="400" w:lineRule="exact"/>
        <w:ind w:firstLine="709"/>
        <w:jc w:val="both"/>
        <w:rPr>
          <w:sz w:val="24"/>
          <w:szCs w:val="24"/>
        </w:rPr>
      </w:pPr>
      <w:bookmarkStart w:id="4" w:name="bookmark7"/>
      <w:r w:rsidRPr="000C7C92">
        <w:rPr>
          <w:sz w:val="24"/>
          <w:szCs w:val="24"/>
        </w:rPr>
        <w:t>III. Отказ за предоставяне на достъп до обществена информация</w:t>
      </w:r>
      <w:bookmarkEnd w:id="4"/>
    </w:p>
    <w:p w:rsidR="00920EE5" w:rsidRPr="000C7C92" w:rsidRDefault="00B077EA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sz w:val="24"/>
          <w:szCs w:val="24"/>
        </w:rPr>
        <w:t xml:space="preserve">ІІІ.1. </w:t>
      </w:r>
      <w:r w:rsidR="00F5507B" w:rsidRPr="000C7C92">
        <w:rPr>
          <w:b/>
          <w:sz w:val="24"/>
          <w:szCs w:val="24"/>
        </w:rPr>
        <w:t>Основание за отказ за предоставяне на достъп или за предоставяне на частичен достъп е налице, когато: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tabs>
          <w:tab w:val="left" w:pos="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исканата информация е класифицирана информация или друга защитена тайна в случаите, предвидени със закон;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tabs>
          <w:tab w:val="left" w:pos="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tabs>
          <w:tab w:val="left" w:pos="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исканата информация съдържа мнения и позиции във връзка с настоящи или предстоящи преговори, както и сведения, свързани с тях;</w:t>
      </w:r>
    </w:p>
    <w:p w:rsidR="004B0C96" w:rsidRPr="000C7C92" w:rsidRDefault="00F5507B" w:rsidP="000C7C92">
      <w:pPr>
        <w:pStyle w:val="a0"/>
        <w:numPr>
          <w:ilvl w:val="0"/>
          <w:numId w:val="9"/>
        </w:numPr>
        <w:tabs>
          <w:tab w:val="left" w:pos="0"/>
        </w:tabs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заявено е искане за достъп до лични данни, които съгласно чл. 2, ал. 5 от</w:t>
      </w:r>
      <w:r w:rsidR="00B077EA" w:rsidRPr="000C7C92">
        <w:rPr>
          <w:sz w:val="24"/>
          <w:szCs w:val="24"/>
        </w:rPr>
        <w:t xml:space="preserve"> </w:t>
      </w:r>
      <w:r w:rsidRPr="000C7C92">
        <w:rPr>
          <w:sz w:val="24"/>
          <w:szCs w:val="24"/>
        </w:rPr>
        <w:t>Закона за достъп до обществена информация са извън приложното поле на закона;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исканата обществена информация е предоставяна на заявителя през предходните шест месеца.</w:t>
      </w:r>
    </w:p>
    <w:p w:rsidR="00920EE5" w:rsidRPr="000C7C92" w:rsidRDefault="00F5507B" w:rsidP="000C7C92">
      <w:pPr>
        <w:pStyle w:val="a0"/>
        <w:numPr>
          <w:ilvl w:val="0"/>
          <w:numId w:val="9"/>
        </w:numPr>
        <w:spacing w:after="0" w:line="400" w:lineRule="exact"/>
        <w:ind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не се предоставя информация по реда на ЗДОИ, която не е обществена по смисъла на чл. 2 от закона.</w:t>
      </w:r>
    </w:p>
    <w:p w:rsidR="00920EE5" w:rsidRPr="000C7C92" w:rsidRDefault="00B077EA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sz w:val="24"/>
          <w:szCs w:val="24"/>
        </w:rPr>
        <w:t xml:space="preserve">ІІІ.2. </w:t>
      </w:r>
      <w:r w:rsidR="00F5507B" w:rsidRPr="000C7C92">
        <w:rPr>
          <w:b/>
          <w:sz w:val="24"/>
          <w:szCs w:val="24"/>
        </w:rPr>
        <w:t>Директорът на училището няма задължение да предоставя информация, която не е налична към момента на постъпване на заявлението и това изисква нейното създаване.</w:t>
      </w:r>
    </w:p>
    <w:p w:rsidR="00920EE5" w:rsidRPr="000C7C92" w:rsidRDefault="00B077EA" w:rsidP="000C7C92">
      <w:pPr>
        <w:pStyle w:val="a0"/>
        <w:spacing w:after="0" w:line="400" w:lineRule="exact"/>
        <w:ind w:firstLine="709"/>
        <w:jc w:val="both"/>
        <w:rPr>
          <w:b/>
          <w:sz w:val="24"/>
          <w:szCs w:val="24"/>
        </w:rPr>
      </w:pPr>
      <w:r w:rsidRPr="000C7C92">
        <w:rPr>
          <w:b/>
          <w:sz w:val="24"/>
          <w:szCs w:val="24"/>
        </w:rPr>
        <w:t xml:space="preserve">ІІІ.3. </w:t>
      </w:r>
      <w:r w:rsidR="00F5507B" w:rsidRPr="000C7C92">
        <w:rPr>
          <w:b/>
          <w:sz w:val="24"/>
          <w:szCs w:val="24"/>
        </w:rPr>
        <w:t>Директорът на училището няма задължение да създава или събира определен вид информация за нуждите на ЗДОИ.</w:t>
      </w:r>
    </w:p>
    <w:p w:rsidR="00920EE5" w:rsidRPr="000C7C92" w:rsidRDefault="00F5507B" w:rsidP="000C7C92">
      <w:pPr>
        <w:pStyle w:val="a0"/>
        <w:spacing w:after="0" w:line="400" w:lineRule="exact"/>
        <w:ind w:left="140"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В решението за отказ за предоставяне на достъп до обществена информация се посочват правното и фактичес</w:t>
      </w:r>
      <w:r w:rsidR="004B0C96" w:rsidRPr="000C7C92">
        <w:rPr>
          <w:sz w:val="24"/>
          <w:szCs w:val="24"/>
        </w:rPr>
        <w:t xml:space="preserve">кото основание за отказ по ЗДОИ, </w:t>
      </w:r>
      <w:r w:rsidRPr="000C7C92">
        <w:rPr>
          <w:sz w:val="24"/>
          <w:szCs w:val="24"/>
        </w:rPr>
        <w:t xml:space="preserve"> датата на приемане на решението и редът за неговото обжалване.</w:t>
      </w:r>
    </w:p>
    <w:p w:rsidR="00920EE5" w:rsidRPr="000C7C92" w:rsidRDefault="00F5507B" w:rsidP="000C7C92">
      <w:pPr>
        <w:pStyle w:val="a0"/>
        <w:spacing w:after="0" w:line="400" w:lineRule="exact"/>
        <w:ind w:left="140"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>Решението за отказ за предоставяне на достъп до обществена информация се изпраща по пощата с обратна разписка.</w:t>
      </w:r>
    </w:p>
    <w:p w:rsidR="00920EE5" w:rsidRPr="000C7C92" w:rsidRDefault="00F5507B" w:rsidP="000C7C92">
      <w:pPr>
        <w:pStyle w:val="a0"/>
        <w:spacing w:after="0" w:line="400" w:lineRule="exact"/>
        <w:ind w:left="140" w:firstLine="709"/>
        <w:jc w:val="both"/>
        <w:rPr>
          <w:sz w:val="24"/>
          <w:szCs w:val="24"/>
        </w:rPr>
      </w:pPr>
      <w:r w:rsidRPr="000C7C92">
        <w:rPr>
          <w:sz w:val="24"/>
          <w:szCs w:val="24"/>
        </w:rPr>
        <w:t xml:space="preserve">Решенията за предоставяне на достъп до обществена информация или за отказа за предоставянето й могат да се обжалват по реда на </w:t>
      </w:r>
      <w:r w:rsidR="00C01FA9" w:rsidRPr="000C7C92">
        <w:rPr>
          <w:sz w:val="24"/>
          <w:szCs w:val="24"/>
        </w:rPr>
        <w:t>Административно процесуалния</w:t>
      </w:r>
      <w:r w:rsidRPr="000C7C92">
        <w:rPr>
          <w:sz w:val="24"/>
          <w:szCs w:val="24"/>
        </w:rPr>
        <w:t xml:space="preserve"> кодекс.</w:t>
      </w:r>
    </w:p>
    <w:sectPr w:rsidR="00920EE5" w:rsidRPr="000C7C92" w:rsidSect="000C7C92">
      <w:pgSz w:w="11900" w:h="16840"/>
      <w:pgMar w:top="1418" w:right="1247" w:bottom="1418" w:left="1247" w:header="1814" w:footer="17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60" w:rsidRDefault="00F72660">
      <w:r>
        <w:separator/>
      </w:r>
    </w:p>
  </w:endnote>
  <w:endnote w:type="continuationSeparator" w:id="0">
    <w:p w:rsidR="00F72660" w:rsidRDefault="00F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60" w:rsidRDefault="00F72660"/>
  </w:footnote>
  <w:footnote w:type="continuationSeparator" w:id="0">
    <w:p w:rsidR="00F72660" w:rsidRDefault="00F72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B75"/>
    <w:multiLevelType w:val="multilevel"/>
    <w:tmpl w:val="B5ECA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4137A"/>
    <w:multiLevelType w:val="hybridMultilevel"/>
    <w:tmpl w:val="DAF0D5E6"/>
    <w:lvl w:ilvl="0" w:tplc="57526AAC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76919BB"/>
    <w:multiLevelType w:val="multilevel"/>
    <w:tmpl w:val="64CA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E3773"/>
    <w:multiLevelType w:val="multilevel"/>
    <w:tmpl w:val="FBEE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C592C"/>
    <w:multiLevelType w:val="multilevel"/>
    <w:tmpl w:val="79BA51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2225D7"/>
    <w:multiLevelType w:val="multilevel"/>
    <w:tmpl w:val="B93CB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C69A1"/>
    <w:multiLevelType w:val="multilevel"/>
    <w:tmpl w:val="12163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43C0A"/>
    <w:multiLevelType w:val="multilevel"/>
    <w:tmpl w:val="F2123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01C2E"/>
    <w:multiLevelType w:val="multilevel"/>
    <w:tmpl w:val="A4B67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51121"/>
    <w:multiLevelType w:val="multilevel"/>
    <w:tmpl w:val="C846A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B0586B"/>
    <w:multiLevelType w:val="multilevel"/>
    <w:tmpl w:val="80E42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5"/>
    <w:rsid w:val="000610EC"/>
    <w:rsid w:val="000C7C92"/>
    <w:rsid w:val="00197789"/>
    <w:rsid w:val="0021641F"/>
    <w:rsid w:val="00244AFA"/>
    <w:rsid w:val="002D48D1"/>
    <w:rsid w:val="004876C8"/>
    <w:rsid w:val="004B0C96"/>
    <w:rsid w:val="00590BF8"/>
    <w:rsid w:val="006F6120"/>
    <w:rsid w:val="008B00FB"/>
    <w:rsid w:val="00920EE5"/>
    <w:rsid w:val="00B077EA"/>
    <w:rsid w:val="00C01FA9"/>
    <w:rsid w:val="00D04BC2"/>
    <w:rsid w:val="00E6795F"/>
    <w:rsid w:val="00F5507B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3AA1-DB86-4A07-BE87-BCBA051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  <w:lang w:val="en-US" w:eastAsia="en-US" w:bidi="en-US"/>
    </w:rPr>
  </w:style>
  <w:style w:type="character" w:customStyle="1" w:styleId="3">
    <w:name w:val="Основен текст (3)_"/>
    <w:basedOn w:val="DefaultParagraphFont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ен текст (4)"/>
    <w:basedOn w:val="Normal"/>
    <w:link w:val="4"/>
    <w:pPr>
      <w:spacing w:after="310"/>
      <w:ind w:left="1700"/>
    </w:pPr>
    <w:rPr>
      <w:rFonts w:ascii="Times New Roman" w:eastAsia="Times New Roman" w:hAnsi="Times New Roman" w:cs="Times New Roman"/>
      <w:sz w:val="15"/>
      <w:szCs w:val="15"/>
      <w:u w:val="single"/>
      <w:lang w:val="en-US" w:eastAsia="en-US" w:bidi="en-US"/>
    </w:rPr>
  </w:style>
  <w:style w:type="paragraph" w:customStyle="1" w:styleId="30">
    <w:name w:val="Основен текст (3)"/>
    <w:basedOn w:val="Normal"/>
    <w:link w:val="3"/>
    <w:pPr>
      <w:spacing w:after="200"/>
      <w:ind w:left="1900"/>
    </w:pPr>
    <w:rPr>
      <w:rFonts w:ascii="Cambria" w:eastAsia="Cambria" w:hAnsi="Cambria" w:cs="Cambria"/>
      <w:sz w:val="26"/>
      <w:szCs w:val="26"/>
    </w:rPr>
  </w:style>
  <w:style w:type="paragraph" w:customStyle="1" w:styleId="20">
    <w:name w:val="Основен текст (2)"/>
    <w:basedOn w:val="Normal"/>
    <w:link w:val="2"/>
    <w:pPr>
      <w:spacing w:after="140"/>
      <w:ind w:left="2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лавие #1"/>
    <w:basedOn w:val="Normal"/>
    <w:link w:val="1"/>
    <w:pPr>
      <w:spacing w:after="2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0">
    <w:name w:val="Основен текст"/>
    <w:basedOn w:val="Normal"/>
    <w:link w:val="a"/>
    <w:pPr>
      <w:spacing w:after="140" w:line="40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2021-04-27T08:33:00Z</dcterms:created>
  <dcterms:modified xsi:type="dcterms:W3CDTF">2021-04-27T08:33:00Z</dcterms:modified>
</cp:coreProperties>
</file>